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60713652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76067">
        <w:rPr>
          <w:rFonts w:ascii="Candara" w:hAnsi="Candara"/>
          <w:b/>
          <w:sz w:val="20"/>
          <w:szCs w:val="20"/>
        </w:rPr>
      </w:r>
      <w:r w:rsidR="00390EA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0EA3">
        <w:rPr>
          <w:rFonts w:ascii="Candara" w:hAnsi="Candara"/>
          <w:b/>
          <w:sz w:val="20"/>
          <w:szCs w:val="20"/>
        </w:rPr>
      </w:r>
      <w:r w:rsidR="00390EA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0EA3">
        <w:rPr>
          <w:rFonts w:ascii="Candara" w:hAnsi="Candara"/>
          <w:b/>
          <w:sz w:val="20"/>
          <w:szCs w:val="20"/>
        </w:rPr>
      </w:r>
      <w:r w:rsidR="00390EA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bookmarkStart w:id="1" w:name="_GoBack"/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76067">
        <w:rPr>
          <w:rFonts w:ascii="Candara" w:hAnsi="Candara"/>
          <w:b/>
          <w:sz w:val="20"/>
          <w:szCs w:val="20"/>
        </w:rPr>
      </w:r>
      <w:r w:rsidR="00390EA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1"/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 w:rsidR="0000065E">
        <w:t xml:space="preserve">DD. SS. </w:t>
      </w:r>
      <w:r w:rsidR="002917F2">
        <w:t>operazioni connesse al</w:t>
      </w:r>
      <w:r w:rsidR="0000065E">
        <w:t xml:space="preserve"> CONFERIMENTO INCARICHI DI REGGENZA </w:t>
      </w:r>
      <w:r w:rsidR="002917F2">
        <w:t>a.s. 2020/2021</w:t>
      </w:r>
      <w:r>
        <w:fldChar w:fldCharType="end"/>
      </w:r>
      <w:bookmarkEnd w:id="2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0EA3">
        <w:rPr>
          <w:b/>
          <w:sz w:val="20"/>
          <w:szCs w:val="20"/>
        </w:rPr>
      </w:r>
      <w:r w:rsidR="00390EA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0EA3">
        <w:rPr>
          <w:b/>
          <w:sz w:val="20"/>
          <w:szCs w:val="20"/>
        </w:rPr>
      </w:r>
      <w:r w:rsidR="00390EA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0EA3">
        <w:rPr>
          <w:b/>
          <w:sz w:val="20"/>
          <w:szCs w:val="20"/>
        </w:rPr>
      </w:r>
      <w:r w:rsidR="00390EA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0EA3">
        <w:rPr>
          <w:b/>
          <w:sz w:val="20"/>
          <w:szCs w:val="20"/>
        </w:rPr>
      </w:r>
      <w:r w:rsidR="00390EA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0EA3">
        <w:rPr>
          <w:b/>
          <w:sz w:val="20"/>
          <w:szCs w:val="20"/>
        </w:rPr>
      </w:r>
      <w:r w:rsidR="00390EA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0EA3">
        <w:rPr>
          <w:b/>
          <w:sz w:val="20"/>
          <w:szCs w:val="20"/>
        </w:rPr>
      </w:r>
      <w:r w:rsidR="00390EA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0EA3">
        <w:rPr>
          <w:b/>
          <w:sz w:val="20"/>
          <w:szCs w:val="20"/>
        </w:rPr>
      </w:r>
      <w:r w:rsidR="00390EA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0EA3">
        <w:rPr>
          <w:b/>
          <w:sz w:val="20"/>
          <w:szCs w:val="20"/>
        </w:rPr>
      </w:r>
      <w:r w:rsidR="00390EA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0EA3">
        <w:rPr>
          <w:rFonts w:ascii="Candara" w:hAnsi="Candara"/>
          <w:b/>
          <w:sz w:val="20"/>
          <w:szCs w:val="20"/>
        </w:rPr>
      </w:r>
      <w:r w:rsidR="00390EA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0EA3">
        <w:rPr>
          <w:rFonts w:ascii="Candara" w:hAnsi="Candara"/>
          <w:b/>
          <w:sz w:val="20"/>
          <w:szCs w:val="20"/>
        </w:rPr>
      </w:r>
      <w:r w:rsidR="00390EA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0EA3">
              <w:rPr>
                <w:rFonts w:ascii="Candara" w:hAnsi="Candara"/>
                <w:b/>
                <w:sz w:val="20"/>
                <w:szCs w:val="20"/>
              </w:rPr>
            </w:r>
            <w:r w:rsidR="00390EA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A3" w:rsidRDefault="00390EA3" w:rsidP="00BE23DE">
      <w:pPr>
        <w:spacing w:after="0" w:line="240" w:lineRule="auto"/>
      </w:pPr>
      <w:r>
        <w:separator/>
      </w:r>
    </w:p>
  </w:endnote>
  <w:endnote w:type="continuationSeparator" w:id="0">
    <w:p w:rsidR="00390EA3" w:rsidRDefault="00390EA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6067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A3" w:rsidRDefault="00390EA3" w:rsidP="00BE23DE">
      <w:pPr>
        <w:spacing w:after="0" w:line="240" w:lineRule="auto"/>
      </w:pPr>
      <w:r>
        <w:separator/>
      </w:r>
    </w:p>
  </w:footnote>
  <w:footnote w:type="continuationSeparator" w:id="0">
    <w:p w:rsidR="00390EA3" w:rsidRDefault="00390EA3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60713653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65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067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37F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7F2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6EBB"/>
    <w:rsid w:val="00387D87"/>
    <w:rsid w:val="00390C9B"/>
    <w:rsid w:val="00390EA3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9C7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2A41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DB9D-131D-4FEC-9EA1-32A61F0C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2018-07-04T11:29:00Z</cp:lastPrinted>
  <dcterms:created xsi:type="dcterms:W3CDTF">2020-09-04T06:33:00Z</dcterms:created>
  <dcterms:modified xsi:type="dcterms:W3CDTF">2020-09-04T06:34:00Z</dcterms:modified>
</cp:coreProperties>
</file>